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E37" w14:textId="610393D3" w:rsidR="0098373A" w:rsidRPr="0098373A" w:rsidRDefault="0098373A" w:rsidP="003D435E">
      <w:pPr>
        <w:spacing w:after="0"/>
      </w:pPr>
      <w:r w:rsidRPr="0098373A">
        <w:rPr>
          <w:b/>
          <w:bCs/>
        </w:rPr>
        <w:t xml:space="preserve">Just Autos Fully Synthetic 5W-30 </w:t>
      </w:r>
      <w:r>
        <w:rPr>
          <w:b/>
          <w:bCs/>
        </w:rPr>
        <w:t xml:space="preserve">Diesel Engine Oil </w:t>
      </w:r>
      <w:r>
        <w:rPr>
          <w:b/>
          <w:bCs/>
        </w:rPr>
        <w:br/>
      </w:r>
    </w:p>
    <w:p w14:paraId="487AE3AA" w14:textId="188CE334" w:rsidR="00505726" w:rsidRDefault="002B73C6" w:rsidP="003D435E">
      <w:pPr>
        <w:spacing w:after="0"/>
      </w:pPr>
      <w:r>
        <w:rPr>
          <w:b/>
          <w:bCs/>
        </w:rPr>
        <w:t>Description</w:t>
      </w:r>
      <w:r>
        <w:rPr>
          <w:b/>
          <w:bCs/>
        </w:rPr>
        <w:br/>
      </w:r>
      <w:r w:rsidR="00D156ED" w:rsidRPr="00D156ED">
        <w:rPr>
          <w:b/>
          <w:bCs/>
        </w:rPr>
        <w:t>Just Autos Fully Synthetic 5W-30 Diesel Engine Oil</w:t>
      </w:r>
      <w:r w:rsidR="00D156ED" w:rsidRPr="00D156ED">
        <w:rPr>
          <w:b/>
          <w:bCs/>
        </w:rPr>
        <w:br/>
      </w:r>
      <w:r w:rsidR="00D156ED" w:rsidRPr="00D156ED">
        <w:br/>
        <w:t>An ultra-high performance, fully synthetic engine oil, precisely engineered to meet the latest and most demanding specifications for modern light-duty diesel engin</w:t>
      </w:r>
      <w:r w:rsidR="00BF2660">
        <w:t>e</w:t>
      </w:r>
      <w:r w:rsidR="00D156ED" w:rsidRPr="00D156ED">
        <w:t xml:space="preserve">. </w:t>
      </w:r>
      <w:r w:rsidR="00A14BDA" w:rsidRPr="00A14BDA">
        <w:t>Engineered to assist in maintaining reliability and protection, it aims to deliver performance in the harshest conditions</w:t>
      </w:r>
      <w:r w:rsidR="00A14BDA">
        <w:rPr>
          <w:color w:val="FFC000"/>
        </w:rPr>
        <w:br/>
      </w:r>
    </w:p>
    <w:p w14:paraId="660C7550" w14:textId="24A7E697" w:rsidR="002B73C6" w:rsidRPr="002B73C6" w:rsidRDefault="002B73C6" w:rsidP="003D435E">
      <w:pPr>
        <w:spacing w:after="0"/>
      </w:pPr>
      <w:r w:rsidRPr="002B73C6">
        <w:rPr>
          <w:b/>
          <w:bCs/>
        </w:rPr>
        <w:t>Features &amp; Benefits:</w:t>
      </w:r>
    </w:p>
    <w:p w14:paraId="06FD73C7" w14:textId="77777777" w:rsidR="002B73C6" w:rsidRPr="002B73C6" w:rsidRDefault="002B73C6" w:rsidP="003D435E">
      <w:pPr>
        <w:numPr>
          <w:ilvl w:val="0"/>
          <w:numId w:val="4"/>
        </w:numPr>
        <w:spacing w:after="0"/>
      </w:pPr>
      <w:r w:rsidRPr="002B73C6">
        <w:rPr>
          <w:b/>
          <w:bCs/>
        </w:rPr>
        <w:t>Advanced Compatibility:</w:t>
      </w:r>
      <w:r w:rsidRPr="002B73C6">
        <w:t xml:space="preserve"> Designed for use in modern diesel vehicles equipped with </w:t>
      </w:r>
      <w:r w:rsidRPr="002B73C6">
        <w:rPr>
          <w:b/>
          <w:bCs/>
        </w:rPr>
        <w:t>Diesel Particulate Filters (DPF)</w:t>
      </w:r>
      <w:r w:rsidRPr="002B73C6">
        <w:t xml:space="preserve">, </w:t>
      </w:r>
      <w:r w:rsidRPr="002B73C6">
        <w:rPr>
          <w:b/>
          <w:bCs/>
        </w:rPr>
        <w:t>Three-Way Catalysts (TWC)</w:t>
      </w:r>
      <w:r w:rsidRPr="002B73C6">
        <w:t xml:space="preserve">, and </w:t>
      </w:r>
      <w:r w:rsidRPr="002B73C6">
        <w:rPr>
          <w:b/>
          <w:bCs/>
        </w:rPr>
        <w:t>catalytic converters</w:t>
      </w:r>
      <w:r w:rsidRPr="002B73C6">
        <w:t>.</w:t>
      </w:r>
    </w:p>
    <w:p w14:paraId="444F5A7B" w14:textId="77777777" w:rsidR="002B73C6" w:rsidRPr="002B73C6" w:rsidRDefault="002B73C6" w:rsidP="003D435E">
      <w:pPr>
        <w:numPr>
          <w:ilvl w:val="0"/>
          <w:numId w:val="4"/>
        </w:numPr>
        <w:spacing w:after="0"/>
      </w:pPr>
      <w:r w:rsidRPr="002B73C6">
        <w:rPr>
          <w:b/>
          <w:bCs/>
        </w:rPr>
        <w:t>Soot Management:</w:t>
      </w:r>
      <w:r w:rsidRPr="002B73C6">
        <w:t xml:space="preserve"> Delivers outstanding </w:t>
      </w:r>
      <w:r w:rsidRPr="002B73C6">
        <w:rPr>
          <w:b/>
          <w:bCs/>
        </w:rPr>
        <w:t xml:space="preserve">soot </w:t>
      </w:r>
      <w:proofErr w:type="spellStart"/>
      <w:r w:rsidRPr="002B73C6">
        <w:rPr>
          <w:b/>
          <w:bCs/>
        </w:rPr>
        <w:t>dispersancy</w:t>
      </w:r>
      <w:proofErr w:type="spellEnd"/>
      <w:r w:rsidRPr="002B73C6">
        <w:t xml:space="preserve"> and robust protection against </w:t>
      </w:r>
      <w:r w:rsidRPr="002B73C6">
        <w:rPr>
          <w:b/>
          <w:bCs/>
        </w:rPr>
        <w:t>soot-related wear</w:t>
      </w:r>
      <w:r w:rsidRPr="002B73C6">
        <w:t>.</w:t>
      </w:r>
    </w:p>
    <w:p w14:paraId="334EFB93" w14:textId="77777777" w:rsidR="002B73C6" w:rsidRPr="002B73C6" w:rsidRDefault="002B73C6" w:rsidP="003D435E">
      <w:pPr>
        <w:numPr>
          <w:ilvl w:val="0"/>
          <w:numId w:val="4"/>
        </w:numPr>
        <w:spacing w:after="0"/>
      </w:pPr>
      <w:r w:rsidRPr="002B73C6">
        <w:rPr>
          <w:b/>
          <w:bCs/>
        </w:rPr>
        <w:t>Engine Cleanliness:</w:t>
      </w:r>
      <w:r w:rsidRPr="002B73C6">
        <w:t xml:space="preserve"> Enhanced </w:t>
      </w:r>
      <w:r w:rsidRPr="002B73C6">
        <w:rPr>
          <w:b/>
          <w:bCs/>
        </w:rPr>
        <w:t>oxidative stability</w:t>
      </w:r>
      <w:r w:rsidRPr="002B73C6">
        <w:t xml:space="preserve"> and superior </w:t>
      </w:r>
      <w:r w:rsidRPr="002B73C6">
        <w:rPr>
          <w:b/>
          <w:bCs/>
        </w:rPr>
        <w:t>deposit control</w:t>
      </w:r>
      <w:r w:rsidRPr="002B73C6">
        <w:t xml:space="preserve">, including excellent </w:t>
      </w:r>
      <w:r w:rsidRPr="002B73C6">
        <w:rPr>
          <w:b/>
          <w:bCs/>
        </w:rPr>
        <w:t>piston cleanliness</w:t>
      </w:r>
      <w:r w:rsidRPr="002B73C6">
        <w:t>.</w:t>
      </w:r>
    </w:p>
    <w:p w14:paraId="29F82291" w14:textId="687AB387" w:rsidR="003069EB" w:rsidRDefault="002B73C6" w:rsidP="003069EB">
      <w:pPr>
        <w:spacing w:after="0"/>
        <w:rPr>
          <w:b/>
          <w:bCs/>
        </w:rPr>
      </w:pPr>
      <w:r w:rsidRPr="002B73C6">
        <w:t>This premium oil ensures optimal performance, extended engine life, and superior protection under extreme operating conditions.</w:t>
      </w:r>
      <w:r w:rsidR="003069EB">
        <w:rPr>
          <w:b/>
          <w:bCs/>
        </w:rPr>
        <w:br/>
      </w:r>
    </w:p>
    <w:tbl>
      <w:tblPr>
        <w:tblW w:w="9918" w:type="dxa"/>
        <w:tblCellSpacing w:w="15" w:type="dxa"/>
        <w:tblCellMar>
          <w:top w:w="15" w:type="dxa"/>
          <w:left w:w="15" w:type="dxa"/>
          <w:bottom w:w="15" w:type="dxa"/>
          <w:right w:w="15" w:type="dxa"/>
        </w:tblCellMar>
        <w:tblLook w:val="04A0" w:firstRow="1" w:lastRow="0" w:firstColumn="1" w:lastColumn="0" w:noHBand="0" w:noVBand="1"/>
      </w:tblPr>
      <w:tblGrid>
        <w:gridCol w:w="4169"/>
        <w:gridCol w:w="1922"/>
        <w:gridCol w:w="3827"/>
      </w:tblGrid>
      <w:tr w:rsidR="003069EB" w:rsidRPr="002B73C6" w14:paraId="79CD578C" w14:textId="77777777" w:rsidTr="003069EB">
        <w:trPr>
          <w:trHeight w:val="336"/>
          <w:tblHeader/>
          <w:tblCellSpacing w:w="15" w:type="dxa"/>
        </w:trPr>
        <w:tc>
          <w:tcPr>
            <w:tcW w:w="4124" w:type="dxa"/>
            <w:vAlign w:val="center"/>
            <w:hideMark/>
          </w:tcPr>
          <w:p w14:paraId="2F52D81D" w14:textId="7590E303" w:rsidR="003069EB" w:rsidRPr="002B73C6" w:rsidRDefault="003069EB" w:rsidP="008F6FB8">
            <w:pPr>
              <w:spacing w:after="0"/>
              <w:rPr>
                <w:b/>
                <w:bCs/>
              </w:rPr>
            </w:pPr>
            <w:r>
              <w:rPr>
                <w:b/>
                <w:bCs/>
              </w:rPr>
              <w:t xml:space="preserve">Performance Specification </w:t>
            </w:r>
          </w:p>
        </w:tc>
        <w:tc>
          <w:tcPr>
            <w:tcW w:w="1892" w:type="dxa"/>
          </w:tcPr>
          <w:p w14:paraId="5E4AE906" w14:textId="77777777" w:rsidR="003069EB" w:rsidRDefault="003069EB" w:rsidP="008F6FB8">
            <w:pPr>
              <w:spacing w:after="0"/>
              <w:rPr>
                <w:b/>
                <w:bCs/>
              </w:rPr>
            </w:pPr>
          </w:p>
        </w:tc>
        <w:tc>
          <w:tcPr>
            <w:tcW w:w="3782" w:type="dxa"/>
            <w:vAlign w:val="center"/>
            <w:hideMark/>
          </w:tcPr>
          <w:p w14:paraId="74479934" w14:textId="3813ACF8" w:rsidR="003069EB" w:rsidRPr="00AD734D" w:rsidRDefault="003069EB" w:rsidP="008F6FB8">
            <w:pPr>
              <w:spacing w:after="0"/>
              <w:rPr>
                <w:b/>
                <w:bCs/>
              </w:rPr>
            </w:pPr>
          </w:p>
        </w:tc>
      </w:tr>
      <w:tr w:rsidR="003069EB" w:rsidRPr="003069EB" w14:paraId="7F9C3C51" w14:textId="77777777" w:rsidTr="003069EB">
        <w:trPr>
          <w:trHeight w:val="1048"/>
          <w:tblCellSpacing w:w="15" w:type="dxa"/>
        </w:trPr>
        <w:tc>
          <w:tcPr>
            <w:tcW w:w="4124" w:type="dxa"/>
            <w:vAlign w:val="center"/>
            <w:hideMark/>
          </w:tcPr>
          <w:p w14:paraId="4C361064" w14:textId="77777777" w:rsidR="003069EB" w:rsidRPr="003069EB" w:rsidRDefault="003069EB" w:rsidP="003069EB">
            <w:pPr>
              <w:spacing w:after="0"/>
              <w:rPr>
                <w:b/>
                <w:bCs/>
              </w:rPr>
            </w:pPr>
            <w:r w:rsidRPr="003069EB">
              <w:rPr>
                <w:b/>
                <w:bCs/>
              </w:rPr>
              <w:t xml:space="preserve">SAE - 5W-30 </w:t>
            </w:r>
          </w:p>
          <w:p w14:paraId="511FA2DF" w14:textId="16842E71" w:rsidR="003069EB" w:rsidRDefault="003069EB" w:rsidP="003069EB">
            <w:pPr>
              <w:spacing w:after="0"/>
              <w:rPr>
                <w:b/>
                <w:bCs/>
              </w:rPr>
            </w:pPr>
            <w:r w:rsidRPr="003069EB">
              <w:rPr>
                <w:b/>
                <w:bCs/>
              </w:rPr>
              <w:t xml:space="preserve">ACEA - </w:t>
            </w:r>
            <w:r w:rsidRPr="00AD734D">
              <w:rPr>
                <w:b/>
                <w:bCs/>
              </w:rPr>
              <w:t>C2</w:t>
            </w:r>
            <w:r w:rsidR="00AD734D" w:rsidRPr="00AD734D">
              <w:rPr>
                <w:b/>
                <w:bCs/>
              </w:rPr>
              <w:t xml:space="preserve">, </w:t>
            </w:r>
            <w:r w:rsidRPr="00AD734D">
              <w:rPr>
                <w:b/>
                <w:bCs/>
              </w:rPr>
              <w:t>C3</w:t>
            </w:r>
            <w:r w:rsidRPr="003069EB">
              <w:rPr>
                <w:b/>
                <w:bCs/>
              </w:rPr>
              <w:t xml:space="preserve"> </w:t>
            </w:r>
          </w:p>
          <w:p w14:paraId="55A49935" w14:textId="23CE51DF" w:rsidR="003069EB" w:rsidRPr="002B73C6" w:rsidRDefault="003069EB" w:rsidP="003069EB">
            <w:pPr>
              <w:spacing w:after="0"/>
            </w:pPr>
            <w:r w:rsidRPr="003069EB">
              <w:rPr>
                <w:b/>
                <w:bCs/>
              </w:rPr>
              <w:t>API-S</w:t>
            </w:r>
            <w:r>
              <w:rPr>
                <w:b/>
                <w:bCs/>
              </w:rPr>
              <w:t>P</w:t>
            </w:r>
            <w:r w:rsidR="005A7BAD">
              <w:rPr>
                <w:b/>
                <w:bCs/>
              </w:rPr>
              <w:t>, SN</w:t>
            </w:r>
            <w:r w:rsidRPr="003069EB">
              <w:rPr>
                <w:b/>
                <w:bCs/>
              </w:rPr>
              <w:t>/CF</w:t>
            </w:r>
          </w:p>
        </w:tc>
        <w:tc>
          <w:tcPr>
            <w:tcW w:w="1892" w:type="dxa"/>
          </w:tcPr>
          <w:p w14:paraId="2B30B6A6" w14:textId="77777777" w:rsidR="003069EB" w:rsidRPr="00AD734D" w:rsidRDefault="003069EB" w:rsidP="003069EB">
            <w:pPr>
              <w:spacing w:after="0"/>
              <w:rPr>
                <w:b/>
                <w:bCs/>
                <w:lang w:val="it-IT"/>
              </w:rPr>
            </w:pPr>
          </w:p>
        </w:tc>
        <w:tc>
          <w:tcPr>
            <w:tcW w:w="3782" w:type="dxa"/>
            <w:vAlign w:val="center"/>
            <w:hideMark/>
          </w:tcPr>
          <w:p w14:paraId="535C30CD" w14:textId="0E437649" w:rsidR="003069EB" w:rsidRPr="00AD734D" w:rsidRDefault="003069EB" w:rsidP="003069EB">
            <w:pPr>
              <w:spacing w:after="0"/>
              <w:rPr>
                <w:b/>
                <w:bCs/>
                <w:lang w:val="it-IT"/>
              </w:rPr>
            </w:pPr>
          </w:p>
          <w:p w14:paraId="74586EB6" w14:textId="79B4A049" w:rsidR="003069EB" w:rsidRPr="00AD734D" w:rsidRDefault="003069EB" w:rsidP="003069EB">
            <w:pPr>
              <w:spacing w:after="0"/>
              <w:rPr>
                <w:lang w:val="it-IT"/>
              </w:rPr>
            </w:pPr>
          </w:p>
        </w:tc>
      </w:tr>
    </w:tbl>
    <w:p w14:paraId="61DB3445" w14:textId="6885DBDF" w:rsidR="00505726" w:rsidRPr="003069EB" w:rsidRDefault="00505726" w:rsidP="003D435E">
      <w:pPr>
        <w:spacing w:after="0"/>
        <w:rPr>
          <w:lang w:val="it-IT"/>
        </w:rPr>
      </w:pPr>
    </w:p>
    <w:tbl>
      <w:tblPr>
        <w:tblW w:w="9950"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602"/>
        <w:gridCol w:w="1630"/>
        <w:gridCol w:w="3718"/>
      </w:tblGrid>
      <w:tr w:rsidR="00FA7AD4" w:rsidRPr="002B73C6" w14:paraId="3F12B8E0" w14:textId="6C488135" w:rsidTr="00FA7AD4">
        <w:trPr>
          <w:trHeight w:val="336"/>
          <w:tblHeader/>
          <w:tblCellSpacing w:w="15" w:type="dxa"/>
        </w:trPr>
        <w:tc>
          <w:tcPr>
            <w:tcW w:w="4557" w:type="dxa"/>
            <w:vAlign w:val="center"/>
            <w:hideMark/>
          </w:tcPr>
          <w:p w14:paraId="70D48AFB" w14:textId="37933D41" w:rsidR="00FA7AD4" w:rsidRPr="002B73C6" w:rsidRDefault="00FA7AD4" w:rsidP="00A43128">
            <w:pPr>
              <w:spacing w:after="0"/>
              <w:rPr>
                <w:b/>
                <w:bCs/>
              </w:rPr>
            </w:pPr>
            <w:r>
              <w:rPr>
                <w:b/>
                <w:bCs/>
              </w:rPr>
              <w:t>Feature</w:t>
            </w:r>
          </w:p>
        </w:tc>
        <w:tc>
          <w:tcPr>
            <w:tcW w:w="1600" w:type="dxa"/>
            <w:vAlign w:val="center"/>
            <w:hideMark/>
          </w:tcPr>
          <w:p w14:paraId="24E4C60E" w14:textId="337A4A61" w:rsidR="00FA7AD4" w:rsidRPr="002B73C6" w:rsidRDefault="00FA7AD4" w:rsidP="00FA7AD4">
            <w:pPr>
              <w:spacing w:after="0"/>
              <w:jc w:val="center"/>
              <w:rPr>
                <w:b/>
                <w:bCs/>
              </w:rPr>
            </w:pPr>
            <w:r>
              <w:rPr>
                <w:b/>
                <w:bCs/>
              </w:rPr>
              <w:t xml:space="preserve">Typical </w:t>
            </w:r>
            <w:r w:rsidRPr="002B73C6">
              <w:rPr>
                <w:b/>
                <w:bCs/>
              </w:rPr>
              <w:t>Result</w:t>
            </w:r>
          </w:p>
        </w:tc>
        <w:tc>
          <w:tcPr>
            <w:tcW w:w="3673" w:type="dxa"/>
            <w:vAlign w:val="center"/>
            <w:hideMark/>
          </w:tcPr>
          <w:p w14:paraId="778EDF20" w14:textId="368AB72C" w:rsidR="00FA7AD4" w:rsidRPr="002B73C6" w:rsidRDefault="00FA7AD4" w:rsidP="00A43128">
            <w:pPr>
              <w:spacing w:after="0"/>
              <w:rPr>
                <w:b/>
                <w:bCs/>
              </w:rPr>
            </w:pPr>
            <w:r>
              <w:rPr>
                <w:b/>
                <w:bCs/>
              </w:rPr>
              <w:t xml:space="preserve"> Benefits </w:t>
            </w:r>
          </w:p>
        </w:tc>
      </w:tr>
      <w:tr w:rsidR="00FA7AD4" w:rsidRPr="002B73C6" w14:paraId="7D197A1A" w14:textId="59C3456C" w:rsidTr="00FA7AD4">
        <w:trPr>
          <w:trHeight w:val="1048"/>
          <w:tblCellSpacing w:w="15" w:type="dxa"/>
        </w:trPr>
        <w:tc>
          <w:tcPr>
            <w:tcW w:w="4557" w:type="dxa"/>
            <w:vAlign w:val="center"/>
            <w:hideMark/>
          </w:tcPr>
          <w:p w14:paraId="2457D649" w14:textId="61FB59A0" w:rsidR="00FA7AD4" w:rsidRPr="002B73C6" w:rsidRDefault="00FA7AD4" w:rsidP="00A43128">
            <w:pPr>
              <w:spacing w:after="0"/>
            </w:pPr>
            <w:r w:rsidRPr="002B73C6">
              <w:t>Viscosity Index</w:t>
            </w:r>
            <w:r>
              <w:br/>
            </w:r>
            <w:r w:rsidRPr="00C12084">
              <w:rPr>
                <w:sz w:val="16"/>
                <w:szCs w:val="16"/>
              </w:rPr>
              <w:t>*Testing Method ASTM D2270</w:t>
            </w:r>
          </w:p>
        </w:tc>
        <w:tc>
          <w:tcPr>
            <w:tcW w:w="1600" w:type="dxa"/>
            <w:vAlign w:val="center"/>
            <w:hideMark/>
          </w:tcPr>
          <w:p w14:paraId="58C462AB" w14:textId="2129C397" w:rsidR="00FA7AD4" w:rsidRPr="00FA7AD4" w:rsidRDefault="00FA7AD4" w:rsidP="00FA7AD4">
            <w:pPr>
              <w:jc w:val="center"/>
              <w:rPr>
                <w:b/>
                <w:bCs/>
              </w:rPr>
            </w:pPr>
            <w:r w:rsidRPr="00FA7AD4">
              <w:rPr>
                <w:b/>
                <w:bCs/>
              </w:rPr>
              <w:t>164.7</w:t>
            </w:r>
          </w:p>
        </w:tc>
        <w:tc>
          <w:tcPr>
            <w:tcW w:w="3673" w:type="dxa"/>
            <w:vAlign w:val="center"/>
            <w:hideMark/>
          </w:tcPr>
          <w:p w14:paraId="010A2426" w14:textId="7CC82B09" w:rsidR="00FA7AD4" w:rsidRPr="008C5105" w:rsidRDefault="00FA7AD4" w:rsidP="008C5105">
            <w:r w:rsidRPr="008C5105">
              <w:t>Stable performance in extreme temps</w:t>
            </w:r>
          </w:p>
        </w:tc>
      </w:tr>
      <w:tr w:rsidR="00FA7AD4" w:rsidRPr="002B73C6" w14:paraId="1C77A8BE" w14:textId="1ABF0E83" w:rsidTr="00FA7AD4">
        <w:trPr>
          <w:trHeight w:val="541"/>
          <w:tblCellSpacing w:w="15" w:type="dxa"/>
        </w:trPr>
        <w:tc>
          <w:tcPr>
            <w:tcW w:w="4557" w:type="dxa"/>
            <w:vAlign w:val="center"/>
            <w:hideMark/>
          </w:tcPr>
          <w:p w14:paraId="556E2F68" w14:textId="49EE01CF" w:rsidR="00FA7AD4" w:rsidRPr="002B73C6" w:rsidRDefault="00FA7AD4" w:rsidP="00A43128">
            <w:pPr>
              <w:spacing w:after="0"/>
            </w:pPr>
            <w:r w:rsidRPr="002B73C6">
              <w:t xml:space="preserve">Sulphated Ash (% </w:t>
            </w:r>
            <w:proofErr w:type="spellStart"/>
            <w:r w:rsidRPr="002B73C6">
              <w:t>wt</w:t>
            </w:r>
            <w:proofErr w:type="spellEnd"/>
            <w:r w:rsidRPr="002B73C6">
              <w:t>)</w:t>
            </w:r>
            <w:r>
              <w:br/>
            </w:r>
            <w:r w:rsidRPr="00C12084">
              <w:rPr>
                <w:sz w:val="16"/>
                <w:szCs w:val="16"/>
              </w:rPr>
              <w:t>*Testing Method ASTM D874</w:t>
            </w:r>
          </w:p>
        </w:tc>
        <w:tc>
          <w:tcPr>
            <w:tcW w:w="1600" w:type="dxa"/>
            <w:vAlign w:val="center"/>
            <w:hideMark/>
          </w:tcPr>
          <w:p w14:paraId="7F1D86D0" w14:textId="19276AF6" w:rsidR="00FA7AD4" w:rsidRPr="00FA7AD4" w:rsidRDefault="00FA7AD4" w:rsidP="00FA7AD4">
            <w:pPr>
              <w:spacing w:after="0"/>
              <w:jc w:val="center"/>
              <w:rPr>
                <w:b/>
                <w:bCs/>
              </w:rPr>
            </w:pPr>
            <w:r w:rsidRPr="00FA7AD4">
              <w:rPr>
                <w:b/>
                <w:bCs/>
              </w:rPr>
              <w:t>0.784</w:t>
            </w:r>
          </w:p>
        </w:tc>
        <w:tc>
          <w:tcPr>
            <w:tcW w:w="3673" w:type="dxa"/>
            <w:vAlign w:val="center"/>
            <w:hideMark/>
          </w:tcPr>
          <w:p w14:paraId="2AC9D831" w14:textId="28C0E9D1" w:rsidR="00FA7AD4" w:rsidRPr="008C5105" w:rsidRDefault="00FA7AD4" w:rsidP="008C5105">
            <w:r w:rsidRPr="008C5105">
              <w:t>DPF-safe, emissions system friendly</w:t>
            </w:r>
          </w:p>
        </w:tc>
      </w:tr>
      <w:tr w:rsidR="00FA7AD4" w:rsidRPr="002B73C6" w14:paraId="1A3CB12A" w14:textId="48B79D45" w:rsidTr="00FA7AD4">
        <w:trPr>
          <w:trHeight w:val="556"/>
          <w:tblCellSpacing w:w="15" w:type="dxa"/>
        </w:trPr>
        <w:tc>
          <w:tcPr>
            <w:tcW w:w="4557" w:type="dxa"/>
            <w:vAlign w:val="center"/>
            <w:hideMark/>
          </w:tcPr>
          <w:p w14:paraId="35914BCE" w14:textId="70789CE7" w:rsidR="00FA7AD4" w:rsidRPr="002B73C6" w:rsidRDefault="00FA7AD4" w:rsidP="008C5105">
            <w:pPr>
              <w:spacing w:after="0"/>
            </w:pPr>
            <w:r w:rsidRPr="002B73C6">
              <w:t>Total Base Number (mg KOH/g)</w:t>
            </w:r>
            <w:r>
              <w:br/>
            </w:r>
            <w:r w:rsidRPr="00C12084">
              <w:rPr>
                <w:sz w:val="16"/>
                <w:szCs w:val="16"/>
              </w:rPr>
              <w:t>*Testing Method ASTM D2896-11</w:t>
            </w:r>
          </w:p>
        </w:tc>
        <w:tc>
          <w:tcPr>
            <w:tcW w:w="1600" w:type="dxa"/>
            <w:vAlign w:val="center"/>
            <w:hideMark/>
          </w:tcPr>
          <w:p w14:paraId="2215DBF4" w14:textId="63EB158C" w:rsidR="00FA7AD4" w:rsidRPr="00FA7AD4" w:rsidRDefault="004155AD" w:rsidP="00FA7AD4">
            <w:pPr>
              <w:jc w:val="center"/>
              <w:rPr>
                <w:b/>
                <w:bCs/>
              </w:rPr>
            </w:pPr>
            <w:r w:rsidRPr="004155AD">
              <w:rPr>
                <w:b/>
                <w:bCs/>
                <w:lang w:val="en-AU"/>
              </w:rPr>
              <w:t>≥</w:t>
            </w:r>
            <w:r w:rsidR="00FA7AD4" w:rsidRPr="00FA7AD4">
              <w:rPr>
                <w:b/>
                <w:bCs/>
              </w:rPr>
              <w:t>8.0</w:t>
            </w:r>
          </w:p>
        </w:tc>
        <w:tc>
          <w:tcPr>
            <w:tcW w:w="3673" w:type="dxa"/>
            <w:vAlign w:val="center"/>
            <w:hideMark/>
          </w:tcPr>
          <w:p w14:paraId="3BA3E95F" w14:textId="7BDD5E11" w:rsidR="00FA7AD4" w:rsidRPr="008C5105" w:rsidRDefault="00FA7AD4" w:rsidP="008C5105">
            <w:r w:rsidRPr="008C5105">
              <w:t>Long-lasting protection and cleaning</w:t>
            </w:r>
          </w:p>
        </w:tc>
      </w:tr>
      <w:tr w:rsidR="00FA7AD4" w:rsidRPr="002B73C6" w14:paraId="7E180EFD" w14:textId="053D88A0" w:rsidTr="00FA7AD4">
        <w:trPr>
          <w:trHeight w:val="556"/>
          <w:tblCellSpacing w:w="15" w:type="dxa"/>
        </w:trPr>
        <w:tc>
          <w:tcPr>
            <w:tcW w:w="4557" w:type="dxa"/>
            <w:vAlign w:val="center"/>
            <w:hideMark/>
          </w:tcPr>
          <w:p w14:paraId="25654EF5" w14:textId="63760C21" w:rsidR="00FA7AD4" w:rsidRPr="002B73C6" w:rsidRDefault="00FA7AD4" w:rsidP="008C5105">
            <w:pPr>
              <w:spacing w:after="0"/>
            </w:pPr>
            <w:r w:rsidRPr="002B73C6">
              <w:t>Phosphorus (ppm)</w:t>
            </w:r>
            <w:r>
              <w:br/>
            </w:r>
            <w:r w:rsidRPr="005B658E">
              <w:rPr>
                <w:sz w:val="16"/>
                <w:szCs w:val="16"/>
              </w:rPr>
              <w:t>*Testing Method ASTM D3231</w:t>
            </w:r>
          </w:p>
        </w:tc>
        <w:tc>
          <w:tcPr>
            <w:tcW w:w="1600" w:type="dxa"/>
            <w:vAlign w:val="center"/>
            <w:hideMark/>
          </w:tcPr>
          <w:p w14:paraId="3A92D769" w14:textId="16D2CD07" w:rsidR="00FA7AD4" w:rsidRPr="00FA7AD4" w:rsidRDefault="00FA7AD4" w:rsidP="00FA7AD4">
            <w:pPr>
              <w:spacing w:after="0"/>
              <w:jc w:val="center"/>
              <w:rPr>
                <w:b/>
                <w:bCs/>
              </w:rPr>
            </w:pPr>
            <w:r w:rsidRPr="00FA7AD4">
              <w:rPr>
                <w:b/>
                <w:bCs/>
              </w:rPr>
              <w:t>771</w:t>
            </w:r>
          </w:p>
        </w:tc>
        <w:tc>
          <w:tcPr>
            <w:tcW w:w="3673" w:type="dxa"/>
            <w:vAlign w:val="center"/>
            <w:hideMark/>
          </w:tcPr>
          <w:p w14:paraId="2E5E98C8" w14:textId="67FD4484" w:rsidR="00FA7AD4" w:rsidRPr="00FA7AD4" w:rsidRDefault="00FA7AD4" w:rsidP="00FA7AD4">
            <w:r w:rsidRPr="00FA7AD4">
              <w:t>Anti-wear additives for engine longevity</w:t>
            </w:r>
          </w:p>
        </w:tc>
      </w:tr>
      <w:tr w:rsidR="00FA7AD4" w:rsidRPr="002B73C6" w14:paraId="1FD0272D" w14:textId="4BEADC62" w:rsidTr="00FA7AD4">
        <w:trPr>
          <w:trHeight w:val="556"/>
          <w:tblCellSpacing w:w="15" w:type="dxa"/>
        </w:trPr>
        <w:tc>
          <w:tcPr>
            <w:tcW w:w="4557" w:type="dxa"/>
            <w:vAlign w:val="center"/>
            <w:hideMark/>
          </w:tcPr>
          <w:p w14:paraId="7C03F40C" w14:textId="0AD49ABC" w:rsidR="00FA7AD4" w:rsidRPr="002B73C6" w:rsidRDefault="00FA7AD4" w:rsidP="008C5105">
            <w:pPr>
              <w:spacing w:after="0"/>
            </w:pPr>
            <w:r w:rsidRPr="002B73C6">
              <w:t>Sulphur (ppm)</w:t>
            </w:r>
            <w:r>
              <w:br/>
            </w:r>
            <w:r w:rsidRPr="005B658E">
              <w:rPr>
                <w:sz w:val="16"/>
                <w:szCs w:val="16"/>
              </w:rPr>
              <w:t>*Testing Method ASTM D2622</w:t>
            </w:r>
          </w:p>
        </w:tc>
        <w:tc>
          <w:tcPr>
            <w:tcW w:w="1600" w:type="dxa"/>
            <w:vAlign w:val="center"/>
            <w:hideMark/>
          </w:tcPr>
          <w:p w14:paraId="3EB65F2E" w14:textId="7D500F1B" w:rsidR="00FA7AD4" w:rsidRPr="00FA7AD4" w:rsidRDefault="00FA7AD4" w:rsidP="00FA7AD4">
            <w:pPr>
              <w:spacing w:after="0"/>
              <w:jc w:val="center"/>
              <w:rPr>
                <w:b/>
                <w:bCs/>
              </w:rPr>
            </w:pPr>
            <w:r w:rsidRPr="00FA7AD4">
              <w:rPr>
                <w:b/>
                <w:bCs/>
              </w:rPr>
              <w:t>2,172</w:t>
            </w:r>
          </w:p>
        </w:tc>
        <w:tc>
          <w:tcPr>
            <w:tcW w:w="3673" w:type="dxa"/>
            <w:vAlign w:val="center"/>
            <w:hideMark/>
          </w:tcPr>
          <w:p w14:paraId="756E340F" w14:textId="250182EF" w:rsidR="00FA7AD4" w:rsidRPr="002B73C6" w:rsidRDefault="00FA7AD4" w:rsidP="008C5105">
            <w:pPr>
              <w:spacing w:after="0"/>
            </w:pPr>
          </w:p>
        </w:tc>
      </w:tr>
      <w:tr w:rsidR="00FA7AD4" w:rsidRPr="002B73C6" w14:paraId="7A4AAC25" w14:textId="77777777" w:rsidTr="00FA7AD4">
        <w:trPr>
          <w:trHeight w:val="556"/>
          <w:tblCellSpacing w:w="15" w:type="dxa"/>
        </w:trPr>
        <w:tc>
          <w:tcPr>
            <w:tcW w:w="4557" w:type="dxa"/>
            <w:vAlign w:val="center"/>
          </w:tcPr>
          <w:p w14:paraId="04198B34" w14:textId="45058E4D" w:rsidR="00FA7AD4" w:rsidRPr="002B73C6" w:rsidRDefault="00FA7AD4" w:rsidP="00FA7AD4">
            <w:pPr>
              <w:spacing w:after="0"/>
            </w:pPr>
            <w:r w:rsidRPr="002B73C6">
              <w:t>Specific Gravity @ 20°C</w:t>
            </w:r>
            <w:r>
              <w:br/>
            </w:r>
            <w:r w:rsidRPr="00C12084">
              <w:rPr>
                <w:sz w:val="16"/>
                <w:szCs w:val="16"/>
              </w:rPr>
              <w:t>* Testing Method ASTM D1298</w:t>
            </w:r>
            <w:r>
              <w:t xml:space="preserve"> </w:t>
            </w:r>
          </w:p>
        </w:tc>
        <w:tc>
          <w:tcPr>
            <w:tcW w:w="1600" w:type="dxa"/>
            <w:vAlign w:val="center"/>
          </w:tcPr>
          <w:p w14:paraId="62FDFE6A" w14:textId="0130F22C" w:rsidR="00FA7AD4" w:rsidRPr="00FA7AD4" w:rsidRDefault="00FA7AD4" w:rsidP="00FA7AD4">
            <w:pPr>
              <w:spacing w:after="0"/>
              <w:jc w:val="center"/>
              <w:rPr>
                <w:b/>
                <w:bCs/>
              </w:rPr>
            </w:pPr>
            <w:r w:rsidRPr="00FA7AD4">
              <w:rPr>
                <w:b/>
                <w:bCs/>
              </w:rPr>
              <w:t>0.852</w:t>
            </w:r>
          </w:p>
        </w:tc>
        <w:tc>
          <w:tcPr>
            <w:tcW w:w="3673" w:type="dxa"/>
            <w:vAlign w:val="center"/>
          </w:tcPr>
          <w:p w14:paraId="45160F02" w14:textId="77777777" w:rsidR="00FA7AD4" w:rsidRPr="002B73C6" w:rsidRDefault="00FA7AD4" w:rsidP="00FA7AD4">
            <w:pPr>
              <w:spacing w:after="0"/>
            </w:pPr>
          </w:p>
        </w:tc>
      </w:tr>
      <w:tr w:rsidR="00FA7AD4" w:rsidRPr="002B73C6" w14:paraId="30EE900B" w14:textId="77777777" w:rsidTr="00FA7AD4">
        <w:trPr>
          <w:trHeight w:val="556"/>
          <w:tblCellSpacing w:w="15" w:type="dxa"/>
        </w:trPr>
        <w:tc>
          <w:tcPr>
            <w:tcW w:w="4557" w:type="dxa"/>
            <w:vAlign w:val="center"/>
          </w:tcPr>
          <w:p w14:paraId="4DC73F6D" w14:textId="77777777" w:rsidR="00FA7AD4" w:rsidRDefault="00FA7AD4" w:rsidP="00FA7AD4">
            <w:pPr>
              <w:spacing w:after="0"/>
            </w:pPr>
            <w:r w:rsidRPr="002B73C6">
              <w:lastRenderedPageBreak/>
              <w:t>Kinematic Viscosity @ 40°C (cSt)</w:t>
            </w:r>
          </w:p>
          <w:p w14:paraId="56027C5E" w14:textId="6FD91056" w:rsidR="00FA7AD4" w:rsidRPr="002B73C6" w:rsidRDefault="00FA7AD4" w:rsidP="00FA7AD4">
            <w:pPr>
              <w:spacing w:after="0"/>
            </w:pPr>
            <w:r w:rsidRPr="00C12084">
              <w:rPr>
                <w:sz w:val="16"/>
                <w:szCs w:val="16"/>
              </w:rPr>
              <w:t>* Testing Method ASTM D445</w:t>
            </w:r>
            <w:r w:rsidRPr="00C12084">
              <w:rPr>
                <w:sz w:val="16"/>
                <w:szCs w:val="16"/>
              </w:rPr>
              <w:br/>
            </w:r>
          </w:p>
        </w:tc>
        <w:tc>
          <w:tcPr>
            <w:tcW w:w="1600" w:type="dxa"/>
            <w:vAlign w:val="center"/>
          </w:tcPr>
          <w:p w14:paraId="386A0D72" w14:textId="7554B371" w:rsidR="00FA7AD4" w:rsidRPr="00FA7AD4" w:rsidRDefault="00FA7AD4" w:rsidP="00FA7AD4">
            <w:pPr>
              <w:spacing w:after="0"/>
              <w:jc w:val="center"/>
              <w:rPr>
                <w:b/>
                <w:bCs/>
              </w:rPr>
            </w:pPr>
            <w:r w:rsidRPr="00FA7AD4">
              <w:rPr>
                <w:b/>
                <w:bCs/>
              </w:rPr>
              <w:t>64.7</w:t>
            </w:r>
          </w:p>
        </w:tc>
        <w:tc>
          <w:tcPr>
            <w:tcW w:w="3673" w:type="dxa"/>
            <w:vAlign w:val="center"/>
          </w:tcPr>
          <w:p w14:paraId="5792AC73" w14:textId="77777777" w:rsidR="00FA7AD4" w:rsidRPr="002B73C6" w:rsidRDefault="00FA7AD4" w:rsidP="00FA7AD4">
            <w:pPr>
              <w:spacing w:after="0"/>
            </w:pPr>
          </w:p>
        </w:tc>
      </w:tr>
      <w:tr w:rsidR="00FA7AD4" w:rsidRPr="002B73C6" w14:paraId="7128B1FB" w14:textId="77777777" w:rsidTr="00FA7AD4">
        <w:trPr>
          <w:trHeight w:val="556"/>
          <w:tblCellSpacing w:w="15" w:type="dxa"/>
        </w:trPr>
        <w:tc>
          <w:tcPr>
            <w:tcW w:w="4557" w:type="dxa"/>
            <w:vAlign w:val="center"/>
          </w:tcPr>
          <w:p w14:paraId="4D74EE29" w14:textId="77777777" w:rsidR="00FA7AD4" w:rsidRDefault="00FA7AD4" w:rsidP="00FA7AD4">
            <w:pPr>
              <w:spacing w:after="0"/>
            </w:pPr>
            <w:r>
              <w:t>K</w:t>
            </w:r>
            <w:r w:rsidRPr="002B73C6">
              <w:t>inematic Viscosity @ 100°C (cSt)</w:t>
            </w:r>
          </w:p>
          <w:p w14:paraId="573E17F1" w14:textId="19E17B54" w:rsidR="00FA7AD4" w:rsidRPr="002B73C6" w:rsidRDefault="00FA7AD4" w:rsidP="00FA7AD4">
            <w:pPr>
              <w:spacing w:after="0"/>
            </w:pPr>
            <w:r w:rsidRPr="00C12084">
              <w:rPr>
                <w:sz w:val="16"/>
                <w:szCs w:val="16"/>
              </w:rPr>
              <w:t>*Testing Method ASTM D445</w:t>
            </w:r>
          </w:p>
        </w:tc>
        <w:tc>
          <w:tcPr>
            <w:tcW w:w="1600" w:type="dxa"/>
            <w:vAlign w:val="center"/>
          </w:tcPr>
          <w:p w14:paraId="04294F3F" w14:textId="7A451696" w:rsidR="00FA7AD4" w:rsidRPr="00FA7AD4" w:rsidRDefault="00FA7AD4" w:rsidP="00FA7AD4">
            <w:pPr>
              <w:spacing w:after="0"/>
              <w:jc w:val="center"/>
              <w:rPr>
                <w:b/>
                <w:bCs/>
              </w:rPr>
            </w:pPr>
            <w:r w:rsidRPr="00FA7AD4">
              <w:rPr>
                <w:b/>
                <w:bCs/>
              </w:rPr>
              <w:t>11.5-12.0</w:t>
            </w:r>
          </w:p>
        </w:tc>
        <w:tc>
          <w:tcPr>
            <w:tcW w:w="3673" w:type="dxa"/>
            <w:vAlign w:val="center"/>
          </w:tcPr>
          <w:p w14:paraId="3FD1DD6F" w14:textId="77777777" w:rsidR="00FA7AD4" w:rsidRPr="002B73C6" w:rsidRDefault="00FA7AD4" w:rsidP="00FA7AD4">
            <w:pPr>
              <w:spacing w:after="0"/>
            </w:pPr>
          </w:p>
        </w:tc>
      </w:tr>
    </w:tbl>
    <w:p w14:paraId="02EA4524" w14:textId="77777777" w:rsidR="0057203E" w:rsidRDefault="0057203E" w:rsidP="003D435E">
      <w:pPr>
        <w:spacing w:after="0"/>
        <w:rPr>
          <w:b/>
          <w:bCs/>
        </w:rPr>
      </w:pPr>
    </w:p>
    <w:p w14:paraId="797F2C9C" w14:textId="15E80FB0" w:rsidR="00EE6AF6" w:rsidRPr="00B87824" w:rsidRDefault="0098373A" w:rsidP="003D435E">
      <w:pPr>
        <w:spacing w:after="0"/>
        <w:rPr>
          <w:b/>
          <w:bCs/>
          <w:color w:val="EE0000"/>
        </w:rPr>
      </w:pPr>
      <w:r w:rsidRPr="0098373A">
        <w:rPr>
          <w:b/>
          <w:bCs/>
        </w:rPr>
        <w:t>Just Autos Fully Synthetic 5W-30</w:t>
      </w:r>
      <w:r>
        <w:rPr>
          <w:b/>
          <w:bCs/>
        </w:rPr>
        <w:t xml:space="preserve"> Diesel Engine Oil</w:t>
      </w:r>
      <w:r w:rsidRPr="0098373A">
        <w:t xml:space="preserve"> </w:t>
      </w:r>
      <w:r w:rsidR="002B73C6">
        <w:br/>
        <w:t>- Just Autos 5W30 Diesel Engine oil is a premium low-ash fully synthetic formula designed to help protect modern diesel engines across a wide range of driving conditions – including everyday commuting, towing</w:t>
      </w:r>
      <w:r w:rsidR="00BC266D">
        <w:t xml:space="preserve">, </w:t>
      </w:r>
      <w:r w:rsidR="002B73C6">
        <w:t>off-road touring</w:t>
      </w:r>
      <w:r w:rsidR="002001AF">
        <w:t xml:space="preserve"> and </w:t>
      </w:r>
      <w:r w:rsidR="002001AF" w:rsidRPr="00B87824">
        <w:t>crawling</w:t>
      </w:r>
      <w:r w:rsidR="00BC266D" w:rsidRPr="00B87824">
        <w:t>.</w:t>
      </w:r>
      <w:r w:rsidR="002B73C6">
        <w:t xml:space="preserve"> </w:t>
      </w:r>
      <w:r w:rsidR="00B87824">
        <w:br/>
      </w:r>
    </w:p>
    <w:p w14:paraId="1AF673FF" w14:textId="6ACBB831" w:rsidR="002B73C6" w:rsidRPr="002B73C6" w:rsidRDefault="002B73C6" w:rsidP="003D435E">
      <w:pPr>
        <w:spacing w:after="0"/>
      </w:pPr>
      <w:r w:rsidRPr="002B73C6">
        <w:rPr>
          <w:b/>
          <w:bCs/>
        </w:rPr>
        <w:t>Common Challenges in Modern Engine Lubrication</w:t>
      </w:r>
    </w:p>
    <w:p w14:paraId="04DF0A61" w14:textId="3D6DCD5C" w:rsidR="00BC266D" w:rsidRPr="002001AF" w:rsidRDefault="002B73C6" w:rsidP="003D435E">
      <w:pPr>
        <w:spacing w:after="0"/>
        <w:rPr>
          <w:color w:val="EE0000"/>
        </w:rPr>
      </w:pPr>
      <w:r w:rsidRPr="002B73C6">
        <w:rPr>
          <w:b/>
          <w:bCs/>
        </w:rPr>
        <w:t>High-Temperature Oxidation</w:t>
      </w:r>
      <w:r w:rsidRPr="002B73C6">
        <w:br/>
      </w:r>
      <w:r>
        <w:t xml:space="preserve">- </w:t>
      </w:r>
      <w:r w:rsidR="00BF2660" w:rsidRPr="00BF2660">
        <w:t xml:space="preserve">Modern engines used in harsh environmental conditions, often operate at extremely high temperatures, made worse during heavy-duty use such as towing, crawling, or </w:t>
      </w:r>
      <w:proofErr w:type="gramStart"/>
      <w:r w:rsidR="00BF2660" w:rsidRPr="00BF2660">
        <w:t>long</w:t>
      </w:r>
      <w:r w:rsidR="00BF2660">
        <w:t xml:space="preserve"> distance</w:t>
      </w:r>
      <w:proofErr w:type="gramEnd"/>
      <w:r w:rsidR="00BF2660" w:rsidRPr="00BF2660">
        <w:t xml:space="preserve"> driving. With smaller factory oil sumps, there’s less oil available to absorb and dissipate heat. This intense thermal load accelerates oil oxidation, causing it to thicken, lose lubricating strength, and form varnish and piston deposits—all of which can compromise performance and reliability, particularly when you’re far from help.</w:t>
      </w:r>
    </w:p>
    <w:p w14:paraId="555739A2" w14:textId="77777777" w:rsidR="002001AF" w:rsidRPr="002B73C6" w:rsidRDefault="002001AF" w:rsidP="003D435E">
      <w:pPr>
        <w:spacing w:after="0"/>
      </w:pPr>
    </w:p>
    <w:p w14:paraId="76183E30" w14:textId="65BFBF7D" w:rsidR="002B73C6" w:rsidRPr="002B73C6" w:rsidRDefault="002B73C6" w:rsidP="003D435E">
      <w:pPr>
        <w:spacing w:after="0"/>
      </w:pPr>
      <w:r w:rsidRPr="002B73C6">
        <w:rPr>
          <w:b/>
          <w:bCs/>
        </w:rPr>
        <w:t>Increased Mechanical Stress</w:t>
      </w:r>
      <w:r w:rsidRPr="002B73C6">
        <w:br/>
        <w:t xml:space="preserve">Modern </w:t>
      </w:r>
      <w:r w:rsidR="00BE4743" w:rsidRPr="00CE719D">
        <w:t>light vehicle</w:t>
      </w:r>
      <w:r w:rsidRPr="00CE719D">
        <w:t xml:space="preserve"> </w:t>
      </w:r>
      <w:r w:rsidR="004C641D" w:rsidRPr="00CE719D">
        <w:t>diesel</w:t>
      </w:r>
      <w:r w:rsidR="004C641D">
        <w:rPr>
          <w:color w:val="EE0000"/>
        </w:rPr>
        <w:t xml:space="preserve"> </w:t>
      </w:r>
      <w:r w:rsidRPr="002B73C6">
        <w:t xml:space="preserve">engines generate high horsepower despite having compact and </w:t>
      </w:r>
      <w:r>
        <w:t>low</w:t>
      </w:r>
      <w:r w:rsidR="00BE4743">
        <w:t xml:space="preserve"> friction engine designed </w:t>
      </w:r>
      <w:r w:rsidRPr="002B73C6">
        <w:t xml:space="preserve">internal components. </w:t>
      </w:r>
      <w:r w:rsidRPr="00BE4743">
        <w:t>This places significant stress on the lower rotating assembly, including the crankshaft, connecting rods, and pistons, which</w:t>
      </w:r>
      <w:r w:rsidRPr="002B73C6">
        <w:t xml:space="preserve"> must endure higher loads, increased cylinder pressures, and elevated engine speeds. The added strain demands enhanced durability and protection to ensure reliable performance and engine longevity.</w:t>
      </w:r>
    </w:p>
    <w:p w14:paraId="4A28B46A" w14:textId="6C32126C" w:rsidR="00EE6AF6" w:rsidRDefault="00CE719D" w:rsidP="003D435E">
      <w:pPr>
        <w:spacing w:after="0"/>
      </w:pPr>
      <w:r>
        <w:rPr>
          <w:b/>
          <w:bCs/>
        </w:rPr>
        <w:br/>
      </w:r>
      <w:r w:rsidR="002B73C6" w:rsidRPr="002B73C6">
        <w:rPr>
          <w:b/>
          <w:bCs/>
        </w:rPr>
        <w:t>Impact of Emission Control Systems</w:t>
      </w:r>
      <w:r w:rsidR="002B73C6" w:rsidRPr="002B73C6">
        <w:br/>
      </w:r>
      <w:r w:rsidR="002B73C6">
        <w:t xml:space="preserve">- </w:t>
      </w:r>
      <w:r w:rsidR="002B73C6" w:rsidRPr="002B73C6">
        <w:t xml:space="preserve">Devices such as Positive Crankcase Ventilation (PCV) and Exhaust Gas Recirculation (EGR) </w:t>
      </w:r>
      <w:r w:rsidR="00BE4743">
        <w:t xml:space="preserve">&amp; </w:t>
      </w:r>
      <w:r w:rsidR="00BE4743" w:rsidRPr="002001AF">
        <w:rPr>
          <w:color w:val="000000" w:themeColor="text1"/>
        </w:rPr>
        <w:t xml:space="preserve">Diesel Particulate Filter (DPF) </w:t>
      </w:r>
      <w:r w:rsidR="002B73C6" w:rsidRPr="002B73C6">
        <w:t>can further elevate oil temperatures and introduce more contaminants, compounding the stress on the oil.</w:t>
      </w:r>
    </w:p>
    <w:p w14:paraId="463183C2" w14:textId="77777777" w:rsidR="001F3C76" w:rsidRPr="004C641D" w:rsidRDefault="001F3C76" w:rsidP="003D435E">
      <w:pPr>
        <w:spacing w:after="0"/>
      </w:pPr>
    </w:p>
    <w:p w14:paraId="11E90452" w14:textId="279471F5" w:rsidR="002B73C6" w:rsidRPr="002B73C6" w:rsidRDefault="002B73C6" w:rsidP="003D435E">
      <w:pPr>
        <w:spacing w:after="0"/>
      </w:pPr>
      <w:r w:rsidRPr="002B73C6">
        <w:rPr>
          <w:b/>
          <w:bCs/>
        </w:rPr>
        <w:t>The Solution</w:t>
      </w:r>
    </w:p>
    <w:p w14:paraId="1C2402C0" w14:textId="76D184E4" w:rsidR="00BC266D" w:rsidRDefault="002B73C6" w:rsidP="003D435E">
      <w:pPr>
        <w:spacing w:after="0"/>
      </w:pPr>
      <w:r w:rsidRPr="002B73C6">
        <w:t xml:space="preserve">These lubrication challenges can be significantly minimized—or even eliminated—by using high-quality engine oils and adhering to recommended service intervals. </w:t>
      </w:r>
      <w:r w:rsidRPr="002B73C6">
        <w:rPr>
          <w:b/>
          <w:bCs/>
        </w:rPr>
        <w:t>Just Autos Fully Synthetic 5W-30 Diesel Engine Oil</w:t>
      </w:r>
      <w:r w:rsidRPr="002B73C6">
        <w:t xml:space="preserve"> is engineered to perform under these</w:t>
      </w:r>
      <w:r w:rsidR="00BF2660">
        <w:t xml:space="preserve"> harsh and </w:t>
      </w:r>
      <w:r w:rsidRPr="002B73C6">
        <w:t>demanding conditions, providing exceptional protection and performance for modern diesel engines.</w:t>
      </w:r>
    </w:p>
    <w:p w14:paraId="016E237A" w14:textId="721ACE54" w:rsidR="00BC266D" w:rsidRPr="00A14BDA" w:rsidRDefault="00BC266D" w:rsidP="00BF2660">
      <w:r w:rsidRPr="00A14BDA">
        <w:t xml:space="preserve">Whether you're conquering </w:t>
      </w:r>
      <w:r w:rsidR="00BF2660" w:rsidRPr="00A14BDA">
        <w:t xml:space="preserve">the remote parts of Australia, </w:t>
      </w:r>
      <w:r w:rsidRPr="00A14BDA">
        <w:t xml:space="preserve">powering through </w:t>
      </w:r>
      <w:r w:rsidR="00BF2660" w:rsidRPr="00A14BDA">
        <w:t>sand</w:t>
      </w:r>
      <w:r w:rsidRPr="00A14BDA">
        <w:t xml:space="preserve">, or </w:t>
      </w:r>
      <w:r w:rsidR="00BF2660" w:rsidRPr="00A14BDA">
        <w:t>towing heavy loads</w:t>
      </w:r>
      <w:r w:rsidRPr="00A14BDA">
        <w:t xml:space="preserve">, this oil </w:t>
      </w:r>
      <w:r w:rsidR="00A14BDA" w:rsidRPr="00A14BDA">
        <w:t>helps ensure</w:t>
      </w:r>
      <w:r w:rsidRPr="00A14BDA">
        <w:t xml:space="preserve"> your engine stays strong, responsive, and ready for adventure.</w:t>
      </w:r>
    </w:p>
    <w:p w14:paraId="335785CC" w14:textId="05F0B8C4" w:rsidR="002B73C6" w:rsidRPr="002B73C6" w:rsidRDefault="002B73C6" w:rsidP="003D435E">
      <w:pPr>
        <w:spacing w:after="0"/>
      </w:pPr>
    </w:p>
    <w:p w14:paraId="1EDA4192" w14:textId="5BB0BD80" w:rsidR="0098373A" w:rsidRPr="007611D0" w:rsidRDefault="0098373A" w:rsidP="003D435E">
      <w:pPr>
        <w:spacing w:after="0"/>
      </w:pPr>
      <w:r w:rsidRPr="007611D0">
        <w:rPr>
          <w:b/>
          <w:bCs/>
        </w:rPr>
        <w:lastRenderedPageBreak/>
        <w:t xml:space="preserve">Master Item # </w:t>
      </w:r>
      <w:proofErr w:type="gramStart"/>
      <w:r w:rsidRPr="007611D0">
        <w:rPr>
          <w:b/>
          <w:bCs/>
        </w:rPr>
        <w:t>3070010 ,</w:t>
      </w:r>
      <w:proofErr w:type="gramEnd"/>
      <w:r w:rsidRPr="007611D0">
        <w:rPr>
          <w:b/>
          <w:bCs/>
        </w:rPr>
        <w:t xml:space="preserve"> </w:t>
      </w:r>
      <w:r w:rsidR="00B87824" w:rsidRPr="007611D0">
        <w:rPr>
          <w:b/>
          <w:bCs/>
        </w:rPr>
        <w:t>30700</w:t>
      </w:r>
      <w:r w:rsidR="007611D0" w:rsidRPr="007611D0">
        <w:rPr>
          <w:b/>
          <w:bCs/>
        </w:rPr>
        <w:t>200, 307001000</w:t>
      </w:r>
    </w:p>
    <w:p w14:paraId="36124DFD" w14:textId="1C1360DD" w:rsidR="0098373A" w:rsidRPr="0098373A" w:rsidRDefault="0098373A" w:rsidP="003D435E">
      <w:pPr>
        <w:spacing w:after="0"/>
      </w:pPr>
      <w:r w:rsidRPr="0098373A">
        <w:rPr>
          <w:b/>
          <w:bCs/>
        </w:rPr>
        <w:t xml:space="preserve">Pack Size Availability: </w:t>
      </w:r>
      <w:r>
        <w:rPr>
          <w:b/>
          <w:bCs/>
        </w:rPr>
        <w:t>10L</w:t>
      </w:r>
      <w:r w:rsidRPr="0098373A">
        <w:rPr>
          <w:b/>
          <w:bCs/>
        </w:rPr>
        <w:t xml:space="preserve">, 200L </w:t>
      </w:r>
      <w:r>
        <w:rPr>
          <w:b/>
          <w:bCs/>
        </w:rPr>
        <w:t>&amp; 1000IBC</w:t>
      </w:r>
    </w:p>
    <w:p w14:paraId="4297045A" w14:textId="2F4B4BEE" w:rsidR="0098373A" w:rsidRPr="00774A03" w:rsidRDefault="0098373A" w:rsidP="003D435E">
      <w:pPr>
        <w:spacing w:after="0"/>
        <w:rPr>
          <w:color w:val="000000" w:themeColor="text1"/>
        </w:rPr>
      </w:pPr>
      <w:r w:rsidRPr="00774A03">
        <w:rPr>
          <w:b/>
          <w:bCs/>
          <w:color w:val="000000" w:themeColor="text1"/>
        </w:rPr>
        <w:t xml:space="preserve">Last Updated: </w:t>
      </w:r>
      <w:r w:rsidR="003069EB" w:rsidRPr="00774A03">
        <w:rPr>
          <w:b/>
          <w:bCs/>
          <w:i/>
          <w:iCs/>
          <w:color w:val="000000" w:themeColor="text1"/>
        </w:rPr>
        <w:t>2</w:t>
      </w:r>
      <w:r w:rsidR="00774A03">
        <w:rPr>
          <w:b/>
          <w:bCs/>
          <w:i/>
          <w:iCs/>
          <w:color w:val="000000" w:themeColor="text1"/>
        </w:rPr>
        <w:t>6</w:t>
      </w:r>
      <w:r w:rsidR="00B87824" w:rsidRPr="00774A03">
        <w:rPr>
          <w:b/>
          <w:bCs/>
          <w:i/>
          <w:iCs/>
          <w:color w:val="000000" w:themeColor="text1"/>
        </w:rPr>
        <w:t>-08-2025</w:t>
      </w:r>
    </w:p>
    <w:sectPr w:rsidR="0098373A" w:rsidRPr="00774A03" w:rsidSect="003D435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E02"/>
    <w:multiLevelType w:val="multilevel"/>
    <w:tmpl w:val="1C4A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82789"/>
    <w:multiLevelType w:val="hybridMultilevel"/>
    <w:tmpl w:val="05D2B6F0"/>
    <w:lvl w:ilvl="0" w:tplc="F746C9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F1B65"/>
    <w:multiLevelType w:val="multilevel"/>
    <w:tmpl w:val="698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10DAF"/>
    <w:multiLevelType w:val="hybridMultilevel"/>
    <w:tmpl w:val="85F45DD2"/>
    <w:lvl w:ilvl="0" w:tplc="7486BB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804493">
    <w:abstractNumId w:val="1"/>
  </w:num>
  <w:num w:numId="2" w16cid:durableId="1888176337">
    <w:abstractNumId w:val="2"/>
  </w:num>
  <w:num w:numId="3" w16cid:durableId="896548478">
    <w:abstractNumId w:val="3"/>
  </w:num>
  <w:num w:numId="4" w16cid:durableId="78755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3A"/>
    <w:rsid w:val="000B5148"/>
    <w:rsid w:val="000D7CFE"/>
    <w:rsid w:val="001A5251"/>
    <w:rsid w:val="001B7187"/>
    <w:rsid w:val="001C4C65"/>
    <w:rsid w:val="001F3C76"/>
    <w:rsid w:val="001F656A"/>
    <w:rsid w:val="002001AF"/>
    <w:rsid w:val="00204BD6"/>
    <w:rsid w:val="00214F9A"/>
    <w:rsid w:val="00222870"/>
    <w:rsid w:val="00276CD0"/>
    <w:rsid w:val="002B73C6"/>
    <w:rsid w:val="002D69FB"/>
    <w:rsid w:val="003069EB"/>
    <w:rsid w:val="00377ED3"/>
    <w:rsid w:val="003B65A5"/>
    <w:rsid w:val="003D435E"/>
    <w:rsid w:val="004155AD"/>
    <w:rsid w:val="004A254D"/>
    <w:rsid w:val="004C5854"/>
    <w:rsid w:val="004C641D"/>
    <w:rsid w:val="004D1E5A"/>
    <w:rsid w:val="004E7269"/>
    <w:rsid w:val="00505726"/>
    <w:rsid w:val="00533140"/>
    <w:rsid w:val="00541635"/>
    <w:rsid w:val="0057203E"/>
    <w:rsid w:val="005A7BAD"/>
    <w:rsid w:val="005B658E"/>
    <w:rsid w:val="005D1443"/>
    <w:rsid w:val="0061708F"/>
    <w:rsid w:val="00663B05"/>
    <w:rsid w:val="006C7243"/>
    <w:rsid w:val="007611D0"/>
    <w:rsid w:val="00774A03"/>
    <w:rsid w:val="007F00FC"/>
    <w:rsid w:val="00804035"/>
    <w:rsid w:val="008340D0"/>
    <w:rsid w:val="008C5105"/>
    <w:rsid w:val="00943F45"/>
    <w:rsid w:val="00974BA0"/>
    <w:rsid w:val="00976D34"/>
    <w:rsid w:val="0098373A"/>
    <w:rsid w:val="00A14BDA"/>
    <w:rsid w:val="00A43128"/>
    <w:rsid w:val="00AB714B"/>
    <w:rsid w:val="00AD734D"/>
    <w:rsid w:val="00B87824"/>
    <w:rsid w:val="00B95065"/>
    <w:rsid w:val="00BC266D"/>
    <w:rsid w:val="00BD1C53"/>
    <w:rsid w:val="00BE4743"/>
    <w:rsid w:val="00BF2660"/>
    <w:rsid w:val="00C12084"/>
    <w:rsid w:val="00C65F5A"/>
    <w:rsid w:val="00C84149"/>
    <w:rsid w:val="00CE5B03"/>
    <w:rsid w:val="00CE719D"/>
    <w:rsid w:val="00D156ED"/>
    <w:rsid w:val="00D90C6F"/>
    <w:rsid w:val="00DE48BB"/>
    <w:rsid w:val="00E564D8"/>
    <w:rsid w:val="00E651BF"/>
    <w:rsid w:val="00E91875"/>
    <w:rsid w:val="00EE6AF6"/>
    <w:rsid w:val="00EF45E5"/>
    <w:rsid w:val="00EF60C0"/>
    <w:rsid w:val="00F8631D"/>
    <w:rsid w:val="00F94EA4"/>
    <w:rsid w:val="00FA7AD4"/>
    <w:rsid w:val="00FB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4073"/>
  <w15:chartTrackingRefBased/>
  <w15:docId w15:val="{0470698A-EEE5-48BD-9CA1-C9084B8C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73A"/>
    <w:rPr>
      <w:rFonts w:eastAsiaTheme="majorEastAsia" w:cstheme="majorBidi"/>
      <w:color w:val="272727" w:themeColor="text1" w:themeTint="D8"/>
    </w:rPr>
  </w:style>
  <w:style w:type="paragraph" w:styleId="Title">
    <w:name w:val="Title"/>
    <w:basedOn w:val="Normal"/>
    <w:next w:val="Normal"/>
    <w:link w:val="TitleChar"/>
    <w:uiPriority w:val="10"/>
    <w:qFormat/>
    <w:rsid w:val="0098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73A"/>
    <w:pPr>
      <w:spacing w:before="160"/>
      <w:jc w:val="center"/>
    </w:pPr>
    <w:rPr>
      <w:i/>
      <w:iCs/>
      <w:color w:val="404040" w:themeColor="text1" w:themeTint="BF"/>
    </w:rPr>
  </w:style>
  <w:style w:type="character" w:customStyle="1" w:styleId="QuoteChar">
    <w:name w:val="Quote Char"/>
    <w:basedOn w:val="DefaultParagraphFont"/>
    <w:link w:val="Quote"/>
    <w:uiPriority w:val="29"/>
    <w:rsid w:val="0098373A"/>
    <w:rPr>
      <w:i/>
      <w:iCs/>
      <w:color w:val="404040" w:themeColor="text1" w:themeTint="BF"/>
    </w:rPr>
  </w:style>
  <w:style w:type="paragraph" w:styleId="ListParagraph">
    <w:name w:val="List Paragraph"/>
    <w:basedOn w:val="Normal"/>
    <w:uiPriority w:val="34"/>
    <w:qFormat/>
    <w:rsid w:val="0098373A"/>
    <w:pPr>
      <w:ind w:left="720"/>
      <w:contextualSpacing/>
    </w:pPr>
  </w:style>
  <w:style w:type="character" w:styleId="IntenseEmphasis">
    <w:name w:val="Intense Emphasis"/>
    <w:basedOn w:val="DefaultParagraphFont"/>
    <w:uiPriority w:val="21"/>
    <w:qFormat/>
    <w:rsid w:val="0098373A"/>
    <w:rPr>
      <w:i/>
      <w:iCs/>
      <w:color w:val="0F4761" w:themeColor="accent1" w:themeShade="BF"/>
    </w:rPr>
  </w:style>
  <w:style w:type="paragraph" w:styleId="IntenseQuote">
    <w:name w:val="Intense Quote"/>
    <w:basedOn w:val="Normal"/>
    <w:next w:val="Normal"/>
    <w:link w:val="IntenseQuoteChar"/>
    <w:uiPriority w:val="30"/>
    <w:qFormat/>
    <w:rsid w:val="0098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73A"/>
    <w:rPr>
      <w:i/>
      <w:iCs/>
      <w:color w:val="0F4761" w:themeColor="accent1" w:themeShade="BF"/>
    </w:rPr>
  </w:style>
  <w:style w:type="character" w:styleId="IntenseReference">
    <w:name w:val="Intense Reference"/>
    <w:basedOn w:val="DefaultParagraphFont"/>
    <w:uiPriority w:val="32"/>
    <w:qFormat/>
    <w:rsid w:val="0098373A"/>
    <w:rPr>
      <w:b/>
      <w:bCs/>
      <w:smallCaps/>
      <w:color w:val="0F4761" w:themeColor="accent1" w:themeShade="BF"/>
      <w:spacing w:val="5"/>
    </w:rPr>
  </w:style>
  <w:style w:type="paragraph" w:styleId="NormalWeb">
    <w:name w:val="Normal (Web)"/>
    <w:basedOn w:val="Normal"/>
    <w:uiPriority w:val="99"/>
    <w:semiHidden/>
    <w:unhideWhenUsed/>
    <w:rsid w:val="002B73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7671">
      <w:bodyDiv w:val="1"/>
      <w:marLeft w:val="0"/>
      <w:marRight w:val="0"/>
      <w:marTop w:val="0"/>
      <w:marBottom w:val="0"/>
      <w:divBdr>
        <w:top w:val="none" w:sz="0" w:space="0" w:color="auto"/>
        <w:left w:val="none" w:sz="0" w:space="0" w:color="auto"/>
        <w:bottom w:val="none" w:sz="0" w:space="0" w:color="auto"/>
        <w:right w:val="none" w:sz="0" w:space="0" w:color="auto"/>
      </w:divBdr>
    </w:div>
    <w:div w:id="327054416">
      <w:bodyDiv w:val="1"/>
      <w:marLeft w:val="0"/>
      <w:marRight w:val="0"/>
      <w:marTop w:val="0"/>
      <w:marBottom w:val="0"/>
      <w:divBdr>
        <w:top w:val="none" w:sz="0" w:space="0" w:color="auto"/>
        <w:left w:val="none" w:sz="0" w:space="0" w:color="auto"/>
        <w:bottom w:val="none" w:sz="0" w:space="0" w:color="auto"/>
        <w:right w:val="none" w:sz="0" w:space="0" w:color="auto"/>
      </w:divBdr>
    </w:div>
    <w:div w:id="419838253">
      <w:bodyDiv w:val="1"/>
      <w:marLeft w:val="0"/>
      <w:marRight w:val="0"/>
      <w:marTop w:val="0"/>
      <w:marBottom w:val="0"/>
      <w:divBdr>
        <w:top w:val="none" w:sz="0" w:space="0" w:color="auto"/>
        <w:left w:val="none" w:sz="0" w:space="0" w:color="auto"/>
        <w:bottom w:val="none" w:sz="0" w:space="0" w:color="auto"/>
        <w:right w:val="none" w:sz="0" w:space="0" w:color="auto"/>
      </w:divBdr>
    </w:div>
    <w:div w:id="882592163">
      <w:bodyDiv w:val="1"/>
      <w:marLeft w:val="0"/>
      <w:marRight w:val="0"/>
      <w:marTop w:val="0"/>
      <w:marBottom w:val="0"/>
      <w:divBdr>
        <w:top w:val="none" w:sz="0" w:space="0" w:color="auto"/>
        <w:left w:val="none" w:sz="0" w:space="0" w:color="auto"/>
        <w:bottom w:val="none" w:sz="0" w:space="0" w:color="auto"/>
        <w:right w:val="none" w:sz="0" w:space="0" w:color="auto"/>
      </w:divBdr>
    </w:div>
    <w:div w:id="1418408016">
      <w:bodyDiv w:val="1"/>
      <w:marLeft w:val="0"/>
      <w:marRight w:val="0"/>
      <w:marTop w:val="0"/>
      <w:marBottom w:val="0"/>
      <w:divBdr>
        <w:top w:val="none" w:sz="0" w:space="0" w:color="auto"/>
        <w:left w:val="none" w:sz="0" w:space="0" w:color="auto"/>
        <w:bottom w:val="none" w:sz="0" w:space="0" w:color="auto"/>
        <w:right w:val="none" w:sz="0" w:space="0" w:color="auto"/>
      </w:divBdr>
    </w:div>
    <w:div w:id="19415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E775B6F4AC34DAE312D2D17E84B80" ma:contentTypeVersion="13" ma:contentTypeDescription="Create a new document." ma:contentTypeScope="" ma:versionID="e23b5a171099b38e5ab7a513cb90684c">
  <xsd:schema xmlns:xsd="http://www.w3.org/2001/XMLSchema" xmlns:xs="http://www.w3.org/2001/XMLSchema" xmlns:p="http://schemas.microsoft.com/office/2006/metadata/properties" xmlns:ns3="0c80f091-8969-46a4-a3cf-bda9116eea8e" xmlns:ns4="33392b72-ae44-430b-8e36-272c03ffb492" targetNamespace="http://schemas.microsoft.com/office/2006/metadata/properties" ma:root="true" ma:fieldsID="f346ffe9a7c431d8cd2f0a897109db15" ns3:_="" ns4:_="">
    <xsd:import namespace="0c80f091-8969-46a4-a3cf-bda9116eea8e"/>
    <xsd:import namespace="33392b72-ae44-430b-8e36-272c03ffb49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0f091-8969-46a4-a3cf-bda9116eea8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92b72-ae44-430b-8e36-272c03ffb49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c80f091-8969-46a4-a3cf-bda9116eea8e" xsi:nil="true"/>
  </documentManagement>
</p:properties>
</file>

<file path=customXml/itemProps1.xml><?xml version="1.0" encoding="utf-8"?>
<ds:datastoreItem xmlns:ds="http://schemas.openxmlformats.org/officeDocument/2006/customXml" ds:itemID="{DAA507CB-F5E3-49CA-8176-71A1F17FA581}">
  <ds:schemaRefs>
    <ds:schemaRef ds:uri="http://schemas.microsoft.com/sharepoint/v3/contenttype/forms"/>
  </ds:schemaRefs>
</ds:datastoreItem>
</file>

<file path=customXml/itemProps2.xml><?xml version="1.0" encoding="utf-8"?>
<ds:datastoreItem xmlns:ds="http://schemas.openxmlformats.org/officeDocument/2006/customXml" ds:itemID="{C388A33D-70A6-403F-82B6-96B43EAA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0f091-8969-46a4-a3cf-bda9116eea8e"/>
    <ds:schemaRef ds:uri="33392b72-ae44-430b-8e36-272c03ff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2AA29-53BA-438F-8B70-9DA30B619D37}">
  <ds:schemaRefs>
    <ds:schemaRef ds:uri="http://schemas.openxmlformats.org/officeDocument/2006/bibliography"/>
  </ds:schemaRefs>
</ds:datastoreItem>
</file>

<file path=customXml/itemProps4.xml><?xml version="1.0" encoding="utf-8"?>
<ds:datastoreItem xmlns:ds="http://schemas.openxmlformats.org/officeDocument/2006/customXml" ds:itemID="{A22356E3-E8AC-4876-9B5E-C2C3972F9464}">
  <ds:schemaRefs>
    <ds:schemaRef ds:uri="http://schemas.microsoft.com/office/2006/metadata/properties"/>
    <ds:schemaRef ds:uri="http://schemas.microsoft.com/office/infopath/2007/PartnerControls"/>
    <ds:schemaRef ds:uri="0c80f091-8969-46a4-a3cf-bda9116eea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Orders - Just Autos</dc:creator>
  <cp:keywords/>
  <dc:description/>
  <cp:lastModifiedBy>Orders - Just Autos</cp:lastModifiedBy>
  <cp:revision>2</cp:revision>
  <cp:lastPrinted>2025-07-23T22:56:00Z</cp:lastPrinted>
  <dcterms:created xsi:type="dcterms:W3CDTF">2025-08-28T03:18:00Z</dcterms:created>
  <dcterms:modified xsi:type="dcterms:W3CDTF">2025-08-28T03:18:00Z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0x010100B10E775B6F4AC34DAE312D2D17E84B80</vt:lpwstr>
  </property>
</Properties>
</file>